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98" w:rsidRPr="00040094" w:rsidRDefault="001D5298" w:rsidP="001D5298">
      <w:pPr>
        <w:spacing w:line="580" w:lineRule="exact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附件</w:t>
      </w:r>
    </w:p>
    <w:p w:rsidR="001D5298" w:rsidRPr="00040094" w:rsidRDefault="001D5298" w:rsidP="001D5298">
      <w:pPr>
        <w:spacing w:line="580" w:lineRule="exact"/>
        <w:jc w:val="center"/>
        <w:rPr>
          <w:rFonts w:ascii="等线" w:eastAsia="等线" w:hAnsi="等线" w:hint="eastAsia"/>
          <w:b/>
          <w:sz w:val="32"/>
          <w:szCs w:val="20"/>
          <w:shd w:val="clear" w:color="auto" w:fill="FFFFFF"/>
        </w:rPr>
      </w:pPr>
    </w:p>
    <w:p w:rsidR="001D5298" w:rsidRPr="00040094" w:rsidRDefault="001D5298" w:rsidP="001D5298">
      <w:pPr>
        <w:spacing w:line="580" w:lineRule="exact"/>
        <w:jc w:val="center"/>
        <w:rPr>
          <w:rFonts w:ascii="等线" w:eastAsia="等线" w:hAnsi="等线" w:hint="eastAsia"/>
          <w:sz w:val="36"/>
          <w:szCs w:val="36"/>
          <w:shd w:val="clear" w:color="auto" w:fill="FFFFFF"/>
        </w:rPr>
      </w:pPr>
      <w:r w:rsidRPr="00040094">
        <w:rPr>
          <w:rFonts w:ascii="等线" w:eastAsia="等线" w:hAnsi="等线" w:hint="eastAsia"/>
          <w:sz w:val="36"/>
          <w:szCs w:val="36"/>
          <w:shd w:val="clear" w:color="auto" w:fill="FFFFFF"/>
        </w:rPr>
        <w:t>杭州市企业社会责任建设基本标准</w:t>
      </w:r>
    </w:p>
    <w:p w:rsidR="001D5298" w:rsidRPr="00040094" w:rsidRDefault="001D5298" w:rsidP="001D5298">
      <w:pPr>
        <w:spacing w:line="580" w:lineRule="exact"/>
        <w:jc w:val="center"/>
        <w:rPr>
          <w:rFonts w:ascii="等线" w:eastAsia="等线" w:hAnsi="等线" w:hint="eastAsia"/>
          <w:b/>
          <w:sz w:val="32"/>
          <w:szCs w:val="20"/>
          <w:shd w:val="clear" w:color="auto" w:fill="FFFFFF"/>
        </w:rPr>
      </w:pPr>
    </w:p>
    <w:tbl>
      <w:tblPr>
        <w:tblW w:w="13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940"/>
        <w:gridCol w:w="2380"/>
        <w:gridCol w:w="640"/>
        <w:gridCol w:w="787"/>
        <w:gridCol w:w="708"/>
        <w:gridCol w:w="6825"/>
      </w:tblGrid>
      <w:tr w:rsidR="001D5298" w:rsidRPr="00040094" w:rsidTr="00983B9C">
        <w:trPr>
          <w:trHeight w:val="405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指标类别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  <w:p w:rsidR="001D5298" w:rsidRPr="00040094" w:rsidRDefault="001D5298" w:rsidP="00983B9C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  <w:p w:rsidR="001D5298" w:rsidRPr="00040094" w:rsidRDefault="001D5298" w:rsidP="00983B9C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取值</w:t>
            </w:r>
          </w:p>
        </w:tc>
        <w:tc>
          <w:tcPr>
            <w:tcW w:w="6825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指标内容</w:t>
            </w:r>
          </w:p>
        </w:tc>
      </w:tr>
      <w:tr w:rsidR="001D5298" w:rsidRPr="00040094" w:rsidTr="00983B9C">
        <w:trPr>
          <w:trHeight w:val="656"/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指标内容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基本分值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诚信经营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消费投诉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JM1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25" w:type="dxa"/>
            <w:shd w:val="clear" w:color="auto" w:fill="auto"/>
            <w:noWrap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企业建有完善的消费投诉体系，能及时受理消费者投诉，得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合同与履行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JM1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noWrap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企业建有完善的合同管理制度，能正常签订合同，得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noWrap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切实履行商业合同，正常合同履约率达到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％，再得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工商年报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JM2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企业按规定进行年报公示的，得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财会纳税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JM3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企业建有财务管理制度，遵守财经纪律，得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在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的基础上，财务记录清晰、票据保管规范，再得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纳税及缴费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JM4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企业依法纳税，近三年内无纳税不良记录，得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产品质量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质量服务管理体系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JM5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企业建有完善的产品销售服务体系，提供售后服务，得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环保减排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环保管理体系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JN1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企业建有环境管理制度，具备环保责任意识，得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企业有明确的环保目标，能自觉保护环境，得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环保行动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JN2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企业积极参与社会的各类环保活动，得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企业提供的产品和服务符合环保要求，再得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环保治理投入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JN4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企业每年均有环保投入，得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减排降污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JN3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有效保护生产作业周边生态，“三废”排放达标，得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在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的基础上，开展废弃物回收利用，得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lastRenderedPageBreak/>
              <w:t>低碳节能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低碳节能制度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JN4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企业有节能制度但措施有待改进和落实，得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2.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企业建有节能降耗制度，</w:t>
            </w:r>
            <w:proofErr w:type="gramStart"/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并目标</w:t>
            </w:r>
            <w:proofErr w:type="gramEnd"/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措施明确，得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低碳节能行动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JN5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企业积极开展、实施和参与各种低碳节能活动，得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企业主动使用低碳节能产品、技术和设备，再得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3.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企业努力提供各类低碳节能产品和服务，再得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依法用工</w:t>
            </w:r>
          </w:p>
        </w:tc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用工管理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企业与员工签订的劳动合同合法、完备，得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企业用工符合法律及相关规定，再得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劳动合同履行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合同期内，员工流失率在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10%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以内，得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合同期内，员工流失率在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5%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以内，得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工资支付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企业按规定及时并足额发放工资和加班工资，得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工资增长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1.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人均工资有稳定增长，得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2.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人均工资增长高于人均利润增长的，再得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工时与休假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员工日平均工时在法律规定范围内，得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企业按国家规定执行休息休假制度，再得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协调机制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员工关爱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企业经常开展各类员工文体活动，员工业余生活丰富，得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企业对困难员工能提供帮扶和关爱，再得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安全生产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安全宣传培训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企业制定生产安全事故应急救援预案，得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2.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企业定期对员工开展安全生产知识和技能的宣传培训，再得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企业制定各种安全生产规章制度，严格执行，得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定期开展安全检查，对安全隐患及时整改，再得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女工与未成年工保护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JL11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</w:t>
            </w:r>
            <w:proofErr w:type="gramStart"/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做到女</w:t>
            </w:r>
            <w:proofErr w:type="gramEnd"/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职工“四期”保护，得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企业做到对未成年工的特殊登记管理和保护，再得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职业健康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劳动和工作环境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企业建有工作环境管理制度和相关评价指标，并有效执行，得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企业按规定、按标准发放高温津贴，再得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体检与健康管理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企业按规定对员工进行免费体检，得2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职业病防护控制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JL15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企业建有职业病防范措施，得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企业建有完善的职业病危害防范措施，并有效实施，得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30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公益慈善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公益慈善活动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JS1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企业每年至少开展一次具有社会公益性的活动，得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企业积极参加“春风行动”等社会各类慈善活动，社会贡献大，再得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帮扶与共建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JS2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企业偶尔开展帮扶与共建活动，得</w:t>
            </w: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10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分；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>2.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企业参与“联乡结村”等帮扶活动，参与当地社会事业共建，得20分。</w:t>
            </w:r>
          </w:p>
        </w:tc>
      </w:tr>
      <w:tr w:rsidR="001D5298" w:rsidRPr="00040094" w:rsidTr="00983B9C">
        <w:trPr>
          <w:trHeight w:val="46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社会评价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加减分及一票否决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重大事件事故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JY3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一票否决</w:t>
            </w: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1.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使用童工、强制劳动、对员工采用侮辱性惩罚措施；</w:t>
            </w:r>
          </w:p>
        </w:tc>
      </w:tr>
      <w:tr w:rsidR="001D5298" w:rsidRPr="00040094" w:rsidTr="00983B9C">
        <w:trPr>
          <w:trHeight w:val="495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2.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企业发生严重治安事件、发生群体性事件、发生重大职业病危害事件、死亡安全生产责任事故；</w:t>
            </w:r>
          </w:p>
        </w:tc>
      </w:tr>
      <w:tr w:rsidR="001D5298" w:rsidRPr="00040094" w:rsidTr="00983B9C">
        <w:trPr>
          <w:trHeight w:val="1071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3.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生产、加工、销售假冒伪劣、有毒有害产（商）品，发生食品等产品质量安全事故、重大价格欺诈事故；或建设类企业使用劣质建筑材料、偷工减料、发生民生工程、民用住房等质量安全事故；或服务类企业故意泄露、出售消费者信息而牟利的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4.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企业长期恶意欠税（费）；</w:t>
            </w:r>
          </w:p>
        </w:tc>
      </w:tr>
      <w:tr w:rsidR="001D5298" w:rsidRPr="00040094" w:rsidTr="00983B9C">
        <w:trPr>
          <w:trHeight w:val="270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5. 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企业不履行计划生育法定职责、分工职责，造成严重后果的；</w:t>
            </w:r>
          </w:p>
        </w:tc>
      </w:tr>
      <w:tr w:rsidR="001D5298" w:rsidRPr="00040094" w:rsidTr="00983B9C">
        <w:trPr>
          <w:trHeight w:val="495"/>
          <w:jc w:val="center"/>
        </w:trPr>
        <w:tc>
          <w:tcPr>
            <w:tcW w:w="102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D5298" w:rsidRPr="00040094" w:rsidRDefault="001D5298" w:rsidP="00983B9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1D5298" w:rsidRPr="00040094" w:rsidRDefault="001D5298" w:rsidP="00983B9C">
            <w:pPr>
              <w:widowControl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040094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6. </w:t>
            </w:r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近三年内（包括评估当年），企业如发生过上述事件事故，采用一票否决的办法，不评分，直接归入企业社会责任评价的</w:t>
            </w:r>
            <w:proofErr w:type="gramStart"/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最</w:t>
            </w:r>
            <w:proofErr w:type="gramEnd"/>
            <w:r w:rsidRPr="0004009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下位等级。</w:t>
            </w:r>
          </w:p>
        </w:tc>
      </w:tr>
    </w:tbl>
    <w:p w:rsidR="001D5298" w:rsidRPr="00040094" w:rsidRDefault="001D5298" w:rsidP="001D5298">
      <w:pPr>
        <w:spacing w:line="580" w:lineRule="exact"/>
        <w:rPr>
          <w:rFonts w:ascii="等线" w:eastAsia="等线" w:hAnsi="等线"/>
          <w:sz w:val="32"/>
          <w:szCs w:val="20"/>
          <w:shd w:val="clear" w:color="auto" w:fill="FFFFFF"/>
        </w:rPr>
      </w:pPr>
    </w:p>
    <w:p w:rsidR="001D5298" w:rsidRPr="00040094" w:rsidRDefault="001D5298" w:rsidP="001D5298">
      <w:pPr>
        <w:spacing w:line="580" w:lineRule="exact"/>
        <w:jc w:val="center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/>
          <w:sz w:val="32"/>
          <w:szCs w:val="20"/>
          <w:shd w:val="clear" w:color="auto" w:fill="FFFFFF"/>
        </w:rPr>
        <w:br w:type="page"/>
      </w:r>
      <w:r w:rsidRPr="00040094">
        <w:rPr>
          <w:rFonts w:ascii="等线" w:eastAsia="等线" w:hAnsi="等线" w:hint="eastAsia"/>
          <w:sz w:val="36"/>
          <w:szCs w:val="36"/>
          <w:shd w:val="clear" w:color="auto" w:fill="FFFFFF"/>
        </w:rPr>
        <w:lastRenderedPageBreak/>
        <w:t>杭州市企业社会责任建设基本标准说明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《杭州市企业社会责任建设基本标准》遵循以下原则：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1、遵循社会责任建设的内容和结构：四大领域十个方面，与杭州市地方标准《企业社会责任评价规范》体系一致；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2、确保守法：凡是法律法规要求的，全部列入；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3、强调底线：诚信、守约、减排等，节能、安全等，作为企业均应有意识且努力</w:t>
      </w:r>
      <w:proofErr w:type="gramStart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践行</w:t>
      </w:r>
      <w:proofErr w:type="gramEnd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的，优先列入；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4、考虑小企业的建设能力：从基本、容易的方面做起，从树立意识开始着力；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5、考虑小企业的建设需要：保留全部制度建设内容，以指导和引导企业社会责任建设工作；</w:t>
      </w:r>
    </w:p>
    <w:p w:rsidR="001D5298" w:rsidRPr="00040094" w:rsidRDefault="001D5298" w:rsidP="001D5298">
      <w:pPr>
        <w:spacing w:line="520" w:lineRule="exact"/>
        <w:ind w:firstLineChars="200" w:firstLine="640"/>
        <w:rPr>
          <w:rFonts w:ascii="等线" w:eastAsia="等线" w:hAnsi="等线" w:hint="eastAsia"/>
          <w:sz w:val="32"/>
          <w:szCs w:val="20"/>
          <w:shd w:val="clear" w:color="auto" w:fill="FFFFFF"/>
        </w:rPr>
      </w:pPr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5、</w:t>
      </w:r>
      <w:proofErr w:type="gramStart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突出重视</w:t>
      </w:r>
      <w:proofErr w:type="gramEnd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用工责任：小企业通常为劳动密集，小企业的</w:t>
      </w:r>
      <w:proofErr w:type="gramStart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就业占</w:t>
      </w:r>
      <w:proofErr w:type="gramEnd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到全部就业的近四成，用工责任是小企业面对的社会责任的主体方面；并且，突出用工责任，可以使评估数据满足“和谐劳动关系”评估的需要，降低行政成本提高行政效率；</w:t>
      </w:r>
    </w:p>
    <w:p w:rsidR="00777681" w:rsidRDefault="001D5298" w:rsidP="001D5298"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6、完全对接原《评价规范》：作为基本评估体系，不再区别服务类、建设类、一般类的差异，但嵌入到原体系后，保证原基</w:t>
      </w:r>
      <w:proofErr w:type="gramStart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本内容</w:t>
      </w:r>
      <w:proofErr w:type="gramEnd"/>
      <w:r w:rsidRPr="00040094">
        <w:rPr>
          <w:rFonts w:ascii="等线" w:eastAsia="等线" w:hAnsi="等线" w:hint="eastAsia"/>
          <w:sz w:val="32"/>
          <w:szCs w:val="20"/>
          <w:shd w:val="clear" w:color="auto" w:fill="FFFFFF"/>
        </w:rPr>
        <w:t>不变，保持原评估体系总</w:t>
      </w:r>
      <w:bookmarkStart w:id="0" w:name="_GoBack"/>
      <w:bookmarkEnd w:id="0"/>
    </w:p>
    <w:sectPr w:rsidR="00777681" w:rsidSect="00B750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98"/>
    <w:rsid w:val="001D5298"/>
    <w:rsid w:val="00777681"/>
    <w:rsid w:val="008244FD"/>
    <w:rsid w:val="00B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D5E16-4D0C-4F62-94E2-6FDDF50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2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yjx</dc:creator>
  <cp:keywords/>
  <dc:description/>
  <cp:lastModifiedBy>yjx</cp:lastModifiedBy>
  <cp:revision>2</cp:revision>
  <dcterms:created xsi:type="dcterms:W3CDTF">2017-12-29T07:31:00Z</dcterms:created>
  <dcterms:modified xsi:type="dcterms:W3CDTF">2017-12-29T07:33:00Z</dcterms:modified>
</cp:coreProperties>
</file>