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B" w:rsidRDefault="00190783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</w:t>
      </w:r>
    </w:p>
    <w:p w:rsidR="00ED00FB" w:rsidRDefault="00190783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Style w:val="font21"/>
          <w:b/>
          <w:szCs w:val="30"/>
        </w:rPr>
        <w:t>12330100742931998D</w:t>
      </w:r>
    </w:p>
    <w:p w:rsidR="00ED00FB" w:rsidRDefault="00ED00FB">
      <w:pPr>
        <w:adjustRightInd w:val="0"/>
        <w:snapToGrid w:val="0"/>
        <w:jc w:val="right"/>
      </w:pPr>
    </w:p>
    <w:p w:rsidR="00ED00FB" w:rsidRDefault="00ED00FB">
      <w:pPr>
        <w:adjustRightInd w:val="0"/>
        <w:snapToGrid w:val="0"/>
        <w:ind w:rightChars="-27" w:right="-57"/>
        <w:jc w:val="right"/>
      </w:pPr>
    </w:p>
    <w:p w:rsidR="00ED00FB" w:rsidRDefault="00ED00FB">
      <w:pPr>
        <w:adjustRightInd w:val="0"/>
        <w:snapToGrid w:val="0"/>
        <w:jc w:val="right"/>
      </w:pPr>
    </w:p>
    <w:p w:rsidR="00ED00FB" w:rsidRDefault="00ED00FB">
      <w:pPr>
        <w:adjustRightInd w:val="0"/>
        <w:snapToGrid w:val="0"/>
        <w:jc w:val="right"/>
      </w:pPr>
    </w:p>
    <w:p w:rsidR="00ED00FB" w:rsidRDefault="00ED00FB">
      <w:pPr>
        <w:adjustRightInd w:val="0"/>
        <w:snapToGrid w:val="0"/>
        <w:jc w:val="right"/>
      </w:pPr>
    </w:p>
    <w:p w:rsidR="00ED00FB" w:rsidRDefault="00ED00FB">
      <w:pPr>
        <w:adjustRightInd w:val="0"/>
        <w:snapToGrid w:val="0"/>
        <w:jc w:val="right"/>
      </w:pPr>
    </w:p>
    <w:p w:rsidR="00ED00FB" w:rsidRDefault="00ED00FB">
      <w:pPr>
        <w:adjustRightInd w:val="0"/>
        <w:snapToGrid w:val="0"/>
        <w:jc w:val="right"/>
      </w:pPr>
    </w:p>
    <w:p w:rsidR="00ED00FB" w:rsidRDefault="00ED00FB">
      <w:pPr>
        <w:adjustRightInd w:val="0"/>
        <w:snapToGrid w:val="0"/>
        <w:jc w:val="right"/>
      </w:pPr>
    </w:p>
    <w:p w:rsidR="00ED00FB" w:rsidRDefault="00ED00FB">
      <w:pPr>
        <w:adjustRightInd w:val="0"/>
        <w:snapToGrid w:val="0"/>
        <w:jc w:val="right"/>
      </w:pPr>
    </w:p>
    <w:p w:rsidR="00ED00FB" w:rsidRDefault="00190783">
      <w:pPr>
        <w:adjustRightInd w:val="0"/>
        <w:snapToGrid w:val="0"/>
        <w:jc w:val="center"/>
        <w:rPr>
          <w:rFonts w:eastAsia="黑体"/>
          <w:b/>
          <w:spacing w:val="40"/>
          <w:sz w:val="52"/>
        </w:rPr>
      </w:pPr>
      <w:r>
        <w:rPr>
          <w:rFonts w:eastAsia="黑体" w:hint="eastAsia"/>
          <w:b/>
          <w:spacing w:val="40"/>
          <w:sz w:val="52"/>
        </w:rPr>
        <w:t>事业单位法人年度报告书</w:t>
      </w:r>
    </w:p>
    <w:p w:rsidR="00ED00FB" w:rsidRDefault="00ED00FB">
      <w:pPr>
        <w:adjustRightInd w:val="0"/>
        <w:snapToGrid w:val="0"/>
        <w:jc w:val="center"/>
        <w:rPr>
          <w:rFonts w:eastAsia="黑体"/>
          <w:b/>
          <w:spacing w:val="30"/>
        </w:rPr>
      </w:pPr>
    </w:p>
    <w:p w:rsidR="00ED00FB" w:rsidRDefault="00ED00FB">
      <w:pPr>
        <w:adjustRightInd w:val="0"/>
        <w:snapToGrid w:val="0"/>
        <w:jc w:val="center"/>
        <w:rPr>
          <w:rFonts w:eastAsia="黑体"/>
          <w:b/>
          <w:spacing w:val="30"/>
        </w:rPr>
      </w:pPr>
    </w:p>
    <w:p w:rsidR="00ED00FB" w:rsidRDefault="00190783">
      <w:pPr>
        <w:adjustRightInd w:val="0"/>
        <w:snapToGrid w:val="0"/>
        <w:jc w:val="center"/>
        <w:rPr>
          <w:rFonts w:eastAsia="楷体_GB2312"/>
          <w:b/>
          <w:spacing w:val="30"/>
          <w:sz w:val="36"/>
        </w:rPr>
      </w:pPr>
      <w:r>
        <w:rPr>
          <w:rFonts w:eastAsia="楷体_GB2312" w:hint="eastAsia"/>
          <w:b/>
          <w:spacing w:val="30"/>
          <w:sz w:val="36"/>
        </w:rPr>
        <w:t>（</w:t>
      </w:r>
      <w:r>
        <w:rPr>
          <w:rFonts w:eastAsia="楷体_GB2312"/>
          <w:b/>
          <w:spacing w:val="30"/>
          <w:sz w:val="36"/>
        </w:rPr>
        <w:t xml:space="preserve"> </w:t>
      </w:r>
      <w:r>
        <w:rPr>
          <w:rStyle w:val="font21"/>
          <w:b/>
          <w:szCs w:val="30"/>
        </w:rPr>
        <w:t>2017</w:t>
      </w:r>
      <w:r>
        <w:rPr>
          <w:rStyle w:val="font21"/>
          <w:rFonts w:hint="eastAsia"/>
          <w:b/>
          <w:szCs w:val="30"/>
        </w:rPr>
        <w:t xml:space="preserve">  </w:t>
      </w:r>
      <w:r>
        <w:rPr>
          <w:rFonts w:eastAsia="楷体_GB2312" w:hint="eastAsia"/>
          <w:b/>
          <w:spacing w:val="30"/>
          <w:sz w:val="36"/>
        </w:rPr>
        <w:t>）</w:t>
      </w:r>
      <w:r>
        <w:rPr>
          <w:rFonts w:ascii="楷体_GB2312" w:eastAsia="楷体_GB2312" w:hAnsi="楷体" w:hint="eastAsia"/>
          <w:b/>
          <w:spacing w:val="30"/>
          <w:sz w:val="36"/>
        </w:rPr>
        <w:t>年度</w:t>
      </w: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tbl>
      <w:tblPr>
        <w:tblW w:w="8928" w:type="dxa"/>
        <w:tblLayout w:type="fixed"/>
        <w:tblLook w:val="0000"/>
      </w:tblPr>
      <w:tblGrid>
        <w:gridCol w:w="2808"/>
        <w:gridCol w:w="6120"/>
      </w:tblGrid>
      <w:tr w:rsidR="00ED00FB">
        <w:trPr>
          <w:trHeight w:val="722"/>
        </w:trPr>
        <w:tc>
          <w:tcPr>
            <w:tcW w:w="2808" w:type="dxa"/>
            <w:shd w:val="clear" w:color="auto" w:fill="auto"/>
            <w:vAlign w:val="center"/>
          </w:tcPr>
          <w:p w:rsidR="00ED00FB" w:rsidRDefault="00190783">
            <w:pPr>
              <w:adjustRightInd w:val="0"/>
              <w:snapToGrid w:val="0"/>
              <w:jc w:val="right"/>
              <w:rPr>
                <w:sz w:val="36"/>
              </w:rPr>
            </w:pPr>
            <w:r>
              <w:rPr>
                <w:rFonts w:ascii="黑体" w:eastAsia="黑体" w:hint="eastAsia"/>
                <w:b/>
                <w:sz w:val="36"/>
              </w:rPr>
              <w:t>单</w:t>
            </w:r>
            <w:r>
              <w:rPr>
                <w:rFonts w:ascii="黑体" w:eastAsia="黑体" w:hint="eastAsia"/>
                <w:b/>
                <w:sz w:val="36"/>
              </w:rPr>
              <w:t xml:space="preserve"> </w:t>
            </w:r>
            <w:r>
              <w:rPr>
                <w:rFonts w:ascii="黑体" w:eastAsia="黑体" w:hint="eastAsia"/>
                <w:b/>
                <w:sz w:val="36"/>
              </w:rPr>
              <w:t>位</w:t>
            </w:r>
            <w:r>
              <w:rPr>
                <w:rFonts w:ascii="黑体" w:eastAsia="黑体" w:hint="eastAsia"/>
                <w:b/>
                <w:sz w:val="36"/>
              </w:rPr>
              <w:t xml:space="preserve"> </w:t>
            </w:r>
            <w:r>
              <w:rPr>
                <w:rFonts w:ascii="黑体" w:eastAsia="黑体" w:hint="eastAsia"/>
                <w:b/>
                <w:sz w:val="36"/>
              </w:rPr>
              <w:t>名</w:t>
            </w:r>
            <w:r>
              <w:rPr>
                <w:rFonts w:ascii="黑体" w:eastAsia="黑体" w:hint="eastAsia"/>
                <w:b/>
                <w:sz w:val="36"/>
              </w:rPr>
              <w:t xml:space="preserve"> </w:t>
            </w:r>
            <w:r>
              <w:rPr>
                <w:rFonts w:ascii="黑体" w:eastAsia="黑体" w:hint="eastAsia"/>
                <w:b/>
                <w:sz w:val="36"/>
              </w:rPr>
              <w:t>称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adjustRightInd w:val="0"/>
              <w:snapToGrid w:val="0"/>
              <w:rPr>
                <w:sz w:val="36"/>
              </w:rPr>
            </w:pPr>
            <w:r>
              <w:rPr>
                <w:rFonts w:ascii="黑体" w:eastAsia="黑体" w:hint="eastAsia"/>
                <w:sz w:val="36"/>
              </w:rPr>
              <w:t>杭州市总工会会计结算中心</w:t>
            </w:r>
          </w:p>
        </w:tc>
      </w:tr>
      <w:tr w:rsidR="00ED00FB">
        <w:tc>
          <w:tcPr>
            <w:tcW w:w="2808" w:type="dxa"/>
            <w:shd w:val="clear" w:color="auto" w:fill="auto"/>
            <w:vAlign w:val="center"/>
          </w:tcPr>
          <w:p w:rsidR="00ED00FB" w:rsidRDefault="00ED00FB">
            <w:pPr>
              <w:adjustRightInd w:val="0"/>
              <w:snapToGrid w:val="0"/>
              <w:jc w:val="right"/>
              <w:rPr>
                <w:sz w:val="36"/>
              </w:rPr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0FB" w:rsidRDefault="00ED00FB">
            <w:pPr>
              <w:adjustRightInd w:val="0"/>
              <w:snapToGrid w:val="0"/>
              <w:rPr>
                <w:sz w:val="36"/>
              </w:rPr>
            </w:pPr>
          </w:p>
        </w:tc>
      </w:tr>
      <w:tr w:rsidR="00ED00FB">
        <w:trPr>
          <w:trHeight w:val="624"/>
        </w:trPr>
        <w:tc>
          <w:tcPr>
            <w:tcW w:w="2808" w:type="dxa"/>
            <w:shd w:val="clear" w:color="auto" w:fill="auto"/>
            <w:vAlign w:val="center"/>
          </w:tcPr>
          <w:p w:rsidR="00ED00FB" w:rsidRDefault="00190783">
            <w:pPr>
              <w:adjustRightInd w:val="0"/>
              <w:snapToGrid w:val="0"/>
              <w:jc w:val="right"/>
              <w:rPr>
                <w:sz w:val="36"/>
              </w:rPr>
            </w:pPr>
            <w:r>
              <w:rPr>
                <w:rFonts w:ascii="黑体" w:eastAsia="黑体" w:hint="eastAsia"/>
                <w:b/>
                <w:sz w:val="36"/>
              </w:rPr>
              <w:t>法</w:t>
            </w:r>
            <w:r>
              <w:rPr>
                <w:rFonts w:ascii="黑体" w:eastAsia="黑体" w:hint="eastAsia"/>
                <w:b/>
                <w:spacing w:val="30"/>
                <w:sz w:val="36"/>
              </w:rPr>
              <w:t>定代表</w:t>
            </w:r>
            <w:r>
              <w:rPr>
                <w:rFonts w:ascii="黑体" w:eastAsia="黑体" w:hint="eastAsia"/>
                <w:b/>
                <w:sz w:val="36"/>
              </w:rPr>
              <w:t>人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0FB" w:rsidRDefault="00ED00FB">
            <w:pPr>
              <w:adjustRightInd w:val="0"/>
              <w:snapToGrid w:val="0"/>
              <w:rPr>
                <w:sz w:val="36"/>
              </w:rPr>
            </w:pPr>
          </w:p>
        </w:tc>
      </w:tr>
    </w:tbl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sz w:val="36"/>
        </w:rPr>
      </w:pPr>
    </w:p>
    <w:p w:rsidR="00ED00FB" w:rsidRDefault="00ED00FB">
      <w:pPr>
        <w:adjustRightInd w:val="0"/>
        <w:snapToGrid w:val="0"/>
        <w:jc w:val="center"/>
        <w:rPr>
          <w:u w:val="single"/>
        </w:rPr>
      </w:pPr>
    </w:p>
    <w:p w:rsidR="00ED00FB" w:rsidRDefault="00ED00FB">
      <w:pPr>
        <w:adjustRightInd w:val="0"/>
        <w:snapToGrid w:val="0"/>
        <w:jc w:val="center"/>
        <w:rPr>
          <w:u w:val="single"/>
        </w:rPr>
      </w:pPr>
    </w:p>
    <w:p w:rsidR="00ED00FB" w:rsidRDefault="00190783">
      <w:pPr>
        <w:adjustRightInd w:val="0"/>
        <w:snapToGrid w:val="0"/>
        <w:jc w:val="center"/>
        <w:rPr>
          <w:rFonts w:ascii="宋体" w:hAnsi="Calibri" w:cs="宋体"/>
          <w:kern w:val="0"/>
          <w:sz w:val="22"/>
          <w:szCs w:val="2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国家事业单位登记管理局制</w:t>
      </w:r>
    </w:p>
    <w:p w:rsidR="00ED00FB" w:rsidRDefault="00190783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  <w:lang w:val="zh-CN"/>
        </w:rPr>
        <w:t>编号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  <w:r>
        <w:rPr>
          <w:rFonts w:ascii="宋体" w:hAnsi="宋体" w:cs="宋体"/>
          <w:b/>
          <w:kern w:val="0"/>
          <w:sz w:val="18"/>
          <w:szCs w:val="18"/>
        </w:rPr>
        <w:t>133010000553</w:t>
      </w:r>
    </w:p>
    <w:p w:rsidR="00ED00FB" w:rsidRDefault="00ED00FB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  <w:sectPr w:rsidR="00ED00FB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40" w:right="849" w:bottom="1440" w:left="1260" w:header="851" w:footer="992" w:gutter="0"/>
          <w:cols w:space="425"/>
          <w:docGrid w:type="lines" w:linePitch="312"/>
        </w:sectPr>
      </w:pPr>
    </w:p>
    <w:p w:rsidR="00ED00FB" w:rsidRDefault="00ED00FB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ED00FB" w:rsidRDefault="00ED00FB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ED00FB" w:rsidRDefault="00ED00FB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ED00FB" w:rsidRDefault="00ED00FB">
      <w:pPr>
        <w:adjustRightInd w:val="0"/>
        <w:snapToGrid w:val="0"/>
        <w:rPr>
          <w:rFonts w:ascii="宋体" w:hAnsi="宋体" w:cs="宋体"/>
          <w:b/>
          <w:kern w:val="0"/>
          <w:sz w:val="18"/>
          <w:szCs w:val="1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095"/>
        <w:gridCol w:w="1826"/>
        <w:gridCol w:w="2181"/>
        <w:gridCol w:w="2210"/>
      </w:tblGrid>
      <w:tr w:rsidR="00ED00FB">
        <w:trPr>
          <w:trHeight w:val="73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lastRenderedPageBreak/>
              <w:t>《事业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单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位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法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人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证书》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登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载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事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项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2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杭州市总工会会计结算中心</w:t>
            </w:r>
          </w:p>
        </w:tc>
      </w:tr>
      <w:tr w:rsidR="00ED00FB">
        <w:trPr>
          <w:trHeight w:val="3318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ED00FB">
            <w:pPr>
              <w:widowControl/>
              <w:jc w:val="left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宗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旨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和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业务范围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按照会计制度，确定有关单位帐套，设置会计帐户，进行会计核算，编制会计报表；办理市总工会机关、产业工会工资发放、资金收付事项；按核定的单位年度预算，协助做好经费使用情况控制、监督，并做好会计集中核算后的日常管理和服务工作</w:t>
            </w:r>
            <w:r>
              <w:rPr>
                <w:rStyle w:val="font71"/>
                <w:rFonts w:ascii="楷体_GB2312" w:hint="eastAsia"/>
                <w:szCs w:val="28"/>
              </w:rPr>
              <w:t>。</w:t>
            </w:r>
          </w:p>
          <w:p w:rsidR="00ED00FB" w:rsidRDefault="00ED00FB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  <w:p w:rsidR="00ED00FB" w:rsidRDefault="00ED00FB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  <w:p w:rsidR="00ED00FB" w:rsidRDefault="00ED00FB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  <w:p w:rsidR="00ED00FB" w:rsidRDefault="00ED00FB">
            <w:pPr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</w:tr>
      <w:tr w:rsidR="00ED00FB">
        <w:trPr>
          <w:trHeight w:val="64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ED00FB">
            <w:pPr>
              <w:widowControl/>
              <w:jc w:val="left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住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所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浙江省杭州市上城区平海路</w:t>
            </w:r>
            <w:r>
              <w:rPr>
                <w:rStyle w:val="font71"/>
                <w:rFonts w:ascii="楷体_GB2312" w:hint="eastAsia"/>
                <w:szCs w:val="28"/>
              </w:rPr>
              <w:t>27</w:t>
            </w:r>
            <w:r>
              <w:rPr>
                <w:rStyle w:val="font71"/>
                <w:rFonts w:ascii="楷体_GB2312" w:hint="eastAsia"/>
                <w:szCs w:val="28"/>
              </w:rPr>
              <w:t>号</w:t>
            </w:r>
          </w:p>
        </w:tc>
      </w:tr>
      <w:tr w:rsidR="00ED00FB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ED00FB">
            <w:pPr>
              <w:widowControl/>
              <w:jc w:val="left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法定代表人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贾慧萍</w:t>
            </w:r>
          </w:p>
        </w:tc>
      </w:tr>
      <w:tr w:rsidR="00ED00FB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ED00FB">
            <w:pPr>
              <w:widowControl/>
              <w:jc w:val="left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开办资金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/>
                <w:szCs w:val="28"/>
              </w:rPr>
              <w:t>40</w:t>
            </w:r>
            <w:r>
              <w:rPr>
                <w:rStyle w:val="font71"/>
                <w:rFonts w:ascii="楷体_GB2312"/>
                <w:szCs w:val="28"/>
              </w:rPr>
              <w:t>万元</w:t>
            </w:r>
          </w:p>
        </w:tc>
      </w:tr>
      <w:tr w:rsidR="00ED00FB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ED00FB">
            <w:pPr>
              <w:widowControl/>
              <w:jc w:val="left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经费来源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ED00FB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ED00FB">
            <w:pPr>
              <w:widowControl/>
              <w:jc w:val="left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举办单位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杭州市总工会</w:t>
            </w:r>
          </w:p>
        </w:tc>
      </w:tr>
      <w:tr w:rsidR="00ED00FB">
        <w:trPr>
          <w:trHeight w:val="8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</w:pPr>
            <w:r>
              <w:rPr>
                <w:rStyle w:val="font61"/>
                <w:b/>
              </w:rPr>
              <w:t>资产</w:t>
            </w:r>
          </w:p>
          <w:p w:rsidR="00ED00FB" w:rsidRDefault="00190783">
            <w:pPr>
              <w:jc w:val="center"/>
            </w:pPr>
            <w:r>
              <w:rPr>
                <w:rStyle w:val="font61"/>
                <w:b/>
              </w:rPr>
              <w:t>损益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Style w:val="font61"/>
                <w:b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Style w:val="font61"/>
                <w:b/>
              </w:rPr>
              <w:t>净资产合计（所有者权益合计）</w:t>
            </w:r>
          </w:p>
        </w:tc>
      </w:tr>
      <w:tr w:rsidR="00ED00FB">
        <w:trPr>
          <w:trHeight w:val="82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ED00FB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Style w:val="font61"/>
                <w:b/>
              </w:rPr>
              <w:t>年初数（万元）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Style w:val="font61"/>
                <w:b/>
              </w:rPr>
              <w:t>年末数（万元）</w:t>
            </w:r>
          </w:p>
        </w:tc>
      </w:tr>
      <w:tr w:rsidR="00ED00FB">
        <w:trPr>
          <w:trHeight w:val="838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ED00FB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Style w:val="font61"/>
              </w:rPr>
              <w:t>42.2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Style w:val="font71"/>
                <w:sz w:val="32"/>
                <w:szCs w:val="32"/>
              </w:rPr>
              <w:t>50.2</w:t>
            </w:r>
          </w:p>
        </w:tc>
      </w:tr>
      <w:tr w:rsidR="00ED00FB">
        <w:trPr>
          <w:trHeight w:val="84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Style w:val="font61"/>
                <w:b/>
              </w:rPr>
              <w:lastRenderedPageBreak/>
              <w:t>网上名称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杭州市总工会会计结算中心</w:t>
            </w:r>
            <w:r>
              <w:rPr>
                <w:rFonts w:ascii="楷体_GB2312" w:eastAsia="楷体_GB2312" w:hint="eastAsia"/>
                <w:sz w:val="28"/>
                <w:szCs w:val="28"/>
              </w:rPr>
              <w:t>.</w:t>
            </w:r>
            <w:r>
              <w:rPr>
                <w:rFonts w:ascii="楷体_GB2312" w:eastAsia="楷体_GB2312" w:hint="eastAsia"/>
                <w:sz w:val="28"/>
                <w:szCs w:val="28"/>
              </w:rPr>
              <w:t>公益</w:t>
            </w:r>
            <w:r>
              <w:rPr>
                <w:rFonts w:ascii="楷体_GB2312" w:eastAsia="楷体_GB2312" w:hAnsi="楷体" w:hint="eastAsia"/>
                <w:sz w:val="28"/>
                <w:szCs w:val="28"/>
              </w:rPr>
              <w:t xml:space="preserve">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Style w:val="font61"/>
                <w:b/>
              </w:rPr>
              <w:t>从业人数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Style w:val="font71"/>
                <w:rFonts w:hint="eastAsia"/>
              </w:rPr>
              <w:t>6</w:t>
            </w:r>
          </w:p>
        </w:tc>
      </w:tr>
      <w:tr w:rsidR="00ED00FB">
        <w:trPr>
          <w:trHeight w:val="6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对《条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例》和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实施细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则有关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变更登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记规定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的执行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情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0FB" w:rsidRDefault="00190783">
            <w:pPr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/>
                <w:sz w:val="28"/>
                <w:szCs w:val="28"/>
              </w:rPr>
              <w:t>我单位今年以来登记事项未发生变化。</w:t>
            </w:r>
          </w:p>
        </w:tc>
      </w:tr>
      <w:tr w:rsidR="00ED00FB">
        <w:trPr>
          <w:trHeight w:val="1327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lastRenderedPageBreak/>
              <w:t>开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展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业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务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活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动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情</w:t>
            </w:r>
          </w:p>
          <w:p w:rsidR="00ED00FB" w:rsidRDefault="00190783">
            <w:pPr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0FB" w:rsidRDefault="00190783">
            <w:pPr>
              <w:ind w:firstLineChars="200" w:firstLine="420"/>
              <w:rPr>
                <w:rStyle w:val="font71"/>
                <w:rFonts w:ascii="宋体" w:eastAsia="宋体" w:hAnsi="宋体"/>
                <w:sz w:val="21"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2017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年度，我单位在市总工会的正确领导和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相关部门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的指导下，认真贯彻《事业单位登记管理暂行条例》和《事业单位登记管理暂行条例实施细则》及有关法律、法规、政策，按照核准登记的宗旨和业务范围开展活动，现将有关情况报告如下：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 xml:space="preserve">  </w:t>
            </w:r>
          </w:p>
          <w:p w:rsidR="00ED00FB" w:rsidRDefault="00190783">
            <w:pPr>
              <w:numPr>
                <w:ilvl w:val="0"/>
                <w:numId w:val="1"/>
              </w:numPr>
              <w:ind w:firstLineChars="200" w:firstLine="420"/>
              <w:rPr>
                <w:rStyle w:val="font71"/>
                <w:rFonts w:ascii="宋体" w:eastAsia="宋体" w:hAnsi="宋体"/>
                <w:sz w:val="21"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开展的主要工作：</w:t>
            </w:r>
          </w:p>
          <w:p w:rsidR="00ED00FB" w:rsidRDefault="00190783">
            <w:pPr>
              <w:numPr>
                <w:ilvl w:val="0"/>
                <w:numId w:val="2"/>
              </w:numPr>
              <w:ind w:firstLineChars="200" w:firstLine="420"/>
              <w:rPr>
                <w:rStyle w:val="font71"/>
                <w:rFonts w:ascii="宋体" w:eastAsia="宋体" w:hAnsi="宋体"/>
                <w:sz w:val="21"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规范预算执行，提高会计核算质量，提升服务水平。结算中心开展“亮身份、作表率、树形象”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和“政策业务宣传者、意见建议收集者、执行情况把握者、核算单位服务者”两项活动。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是继续实施亮岗服务，强化担当意识和责任意识。进一步明确职责，将每位员工的具体职责，每个帐户的会计出纳岗进行告示，与服务对象直接对接服务；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是领导和骨干作表率，带头主讲业务。特别是对新政策的宣传、学习、讲解、讨论及时开展。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是开展党员活动日树形象活动，作为市总工会的窗口单位，结算中心一直致力于不断提升单位满意度，提升工会形象。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是积极配合各种审计和各类财务检查，及时整改审计和检查中发现的涉及会计核算的问题，对结报中发现和收集的问题，开展讨论和问题分析，诊断业务疑惑，统一稽核口径；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是帮带活动变常态，近年来，结算中心一直实施技能帮带活动，培养和优化团队力量。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ED00FB" w:rsidRDefault="00190783">
            <w:pPr>
              <w:numPr>
                <w:ilvl w:val="0"/>
                <w:numId w:val="2"/>
              </w:numPr>
              <w:ind w:firstLineChars="200" w:firstLine="420"/>
              <w:rPr>
                <w:rStyle w:val="font71"/>
                <w:rFonts w:ascii="宋体" w:eastAsia="宋体" w:hAnsi="宋体"/>
                <w:sz w:val="21"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面对新情况，敢于负责，甘于付出。工会的改革和工会工作的深化、创新、发展，对财务的核算工作带来新的要求，任务也在不断加重。多通道捐款方式，救助帮困和高技能津贴项目的延伸、增加和范围的扩大，财务实施细化预算管理，涉及到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370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余个专项的把控，新管控财务软件的启用。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月初单位搬迁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，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月产业完成改革后，涉及大量的基础信息变化，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个产业工会银行账户重新开户等不利因素，能坦然面对、继续敢于负责，甘于付出。办理好银行变更、财务软件接入新办公场所，会计资料安全搬运和进档，基层经费拨交顺利过渡到经费收缴集中账户等。特别是精神障碍家庭的救助汇款工作由于涉及的为特殊群体，提供的信息错误率为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30%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，对财务工作带来重重困难。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2017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年的工作繁忙劳苦，中心营造良好的工作生活氛围，集合大家的力量做好工作，干好实事。做到忙而不燥，有条不紊从容应对各种繁忙，确保优质服务的始终如一。日常预算执行过程中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碰到的问题和疑惑，通过沟通，取得核算单位的理解，在年终岁末是会计人员的忙碌季，也是会计结算中心任务最繁重的时候得到大家的支持。</w:t>
            </w:r>
          </w:p>
          <w:p w:rsidR="00ED00FB" w:rsidRDefault="00190783">
            <w:pPr>
              <w:rPr>
                <w:rStyle w:val="font71"/>
                <w:rFonts w:ascii="宋体" w:eastAsia="宋体" w:hAnsi="宋体"/>
                <w:sz w:val="21"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（三）倾力协作，悉心做好各项工作。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做好财政资金、工会经费、捐赠基金、协会会费的日常收付工作；及时准确办理银行业务，每月做好盘存盘库工作，杜绝坐支、透支、串户现象，确保资金安全。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是遵照预算，把控专项。对专项资金和各级帮扶资金实施细化管理，杜绝超支和串换，做到专款专用。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是勤反馈，紧联系，运用各种方式收好钱。配合做好工会经费的收缴工作，将自行缴纳、财政统划、税务代收工会经费的收缴情况和明细，每月向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个产业工会和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个主城区工会报告，及时反馈经费收缴动态，并按比例进行清分和划拨。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是依政策、照制度及时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做好账。按时、准确、完整地做好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32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个账户的财务核算工作，准时提供财务报表，做到账账相附、账表相附、账实相附。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是管好账。管好银行账户，每月主动到银行对账，每季配合银行上门对账，杜绝问题资金出入。此外，办理好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 xml:space="preserve"> 10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个产业工会银行账户的重新开户；管好会计资料，完成会计资料归档工作。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是协助和配合做好相关工作：主要是积极配合审计、财务检查、固定资产管理、工资放发和个所税交纳工作；办理市总公积金调整、职工子女统筹。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是做好业务解答和技能支持工作，应对好市总对外咨询电话的业务指导和答疑释惑，在财务电算化建账和核算方面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，为多个县区、基层工会提供技术支持。</w:t>
            </w:r>
          </w:p>
          <w:p w:rsidR="00ED00FB" w:rsidRDefault="00190783">
            <w:pPr>
              <w:numPr>
                <w:ilvl w:val="0"/>
                <w:numId w:val="3"/>
              </w:numPr>
              <w:ind w:firstLineChars="200" w:firstLine="420"/>
              <w:rPr>
                <w:rStyle w:val="font71"/>
                <w:rFonts w:ascii="宋体" w:eastAsia="宋体" w:hAnsi="宋体"/>
                <w:sz w:val="21"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取得的主要效益：我单位为非盈利单位，主要服务于市总工会机关部室、区县（市）和开发（集聚区）总工会、产业工会、基层工会等，在处理好会计核算同时，协助做好经费使用情况控制、监督。收好管好用好工会经费以及各类捐款和基金，使之取之于民用之于民，真正服务于广大职工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17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年“春风行动”市本级共募集爱心款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5538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万元，共有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159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lastRenderedPageBreak/>
              <w:t>家企业、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8.8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万名机关、企事业党员、干部、职工和热心市民参与捐款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,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全市“春风行动”共募集爱心款达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1.468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亿元。市本级春风行动共救助各类困难群众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47000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余人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次，发放专项救助金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9585.875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万元。向四区三县市下拨“春风助医”救助资金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1659.215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万元，配套救助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4221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户困难家庭；下拨“春风助学”配套资金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373.55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万元，配套救助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2003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名困难家庭子女，拨付市农办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314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名低收入农户新生助学金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94.2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万元，慰问金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13.14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万元，对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99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户因病致贫的农户实施了“春风行动”医疗配套救助，救助金额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27.2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万元。应急救助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人次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4.52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万元、反哺救助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617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人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576.03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万元、春风助医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143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人次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197.25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万元、春风助学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1204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人，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401.7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万元、见义勇为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人次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6.1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万元、两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癌救助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人次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3.3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万元、外来务工救助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161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人次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70.394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万元、精神慰问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2512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人次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753.6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万元。</w:t>
            </w:r>
          </w:p>
          <w:p w:rsidR="00ED00FB" w:rsidRDefault="00190783">
            <w:pPr>
              <w:numPr>
                <w:ilvl w:val="0"/>
                <w:numId w:val="3"/>
              </w:numPr>
              <w:ind w:firstLineChars="200" w:firstLine="420"/>
              <w:rPr>
                <w:rStyle w:val="font71"/>
                <w:rFonts w:ascii="宋体" w:eastAsia="宋体" w:hAnsi="宋体"/>
                <w:sz w:val="21"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存在的主要问题：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、业务视角不够宽，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2018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要在外送培训上加强力度。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、服务意识和业务技能还要继续加强，特别是对财务政策的把控上要紧跟新形势，和各核算单位的业务信息沟通上要前置。</w:t>
            </w:r>
          </w:p>
          <w:p w:rsidR="00ED00FB" w:rsidRDefault="00190783">
            <w:pPr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四、下步打算：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、做好常规的做账、管钱、控钱、收付、结报工作。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、适应新形势新方式，继续配合做好工会经费及各项捐款、保险费等的收缴工作，以及各类救助经费的顺利划拨。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 xml:space="preserve"> 3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、积极探索在“三不变”管理体系下，结合当前财务形势，如何更好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地发挥好服务、核算、监督职能。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 xml:space="preserve"> 4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、提升专业胜任能力，做好单位的自我发展和规划，从劳动、人事、分配三项制度入手。</w:t>
            </w:r>
          </w:p>
        </w:tc>
      </w:tr>
      <w:tr w:rsidR="00ED00FB">
        <w:trPr>
          <w:trHeight w:val="20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spacing w:line="500" w:lineRule="exact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lastRenderedPageBreak/>
              <w:t>相关资质认可或执业许可证明文件及有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效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期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0FB" w:rsidRDefault="00190783">
            <w:pPr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/>
                <w:sz w:val="28"/>
                <w:szCs w:val="28"/>
              </w:rPr>
              <w:t>无。</w:t>
            </w:r>
          </w:p>
        </w:tc>
      </w:tr>
      <w:tr w:rsidR="00ED00FB">
        <w:trPr>
          <w:trHeight w:val="14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绩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效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和</w:t>
            </w:r>
          </w:p>
          <w:p w:rsidR="00ED00FB" w:rsidRDefault="00190783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受奖惩及诉讼投诉</w:t>
            </w:r>
          </w:p>
          <w:p w:rsidR="00ED00FB" w:rsidRDefault="00190783">
            <w:pPr>
              <w:adjustRightInd w:val="0"/>
              <w:snapToGrid w:val="0"/>
              <w:spacing w:line="360" w:lineRule="auto"/>
              <w:ind w:firstLineChars="100" w:firstLine="321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0FB" w:rsidRDefault="00190783">
            <w:pPr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本年度无投诉诉讼情况。</w:t>
            </w:r>
          </w:p>
        </w:tc>
      </w:tr>
      <w:tr w:rsidR="00ED00FB">
        <w:trPr>
          <w:trHeight w:val="320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B" w:rsidRDefault="00190783">
            <w:pPr>
              <w:spacing w:line="480" w:lineRule="exact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接受</w:t>
            </w:r>
          </w:p>
          <w:p w:rsidR="00ED00FB" w:rsidRDefault="00190783">
            <w:pPr>
              <w:spacing w:line="480" w:lineRule="exact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捐赠</w:t>
            </w:r>
          </w:p>
          <w:p w:rsidR="00ED00FB" w:rsidRDefault="00190783">
            <w:pPr>
              <w:spacing w:line="480" w:lineRule="exact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资助</w:t>
            </w:r>
          </w:p>
          <w:p w:rsidR="00ED00FB" w:rsidRDefault="00190783">
            <w:pPr>
              <w:spacing w:line="480" w:lineRule="exact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及其</w:t>
            </w:r>
          </w:p>
          <w:p w:rsidR="00ED00FB" w:rsidRDefault="00190783">
            <w:pPr>
              <w:spacing w:line="480" w:lineRule="exact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使用</w:t>
            </w:r>
          </w:p>
          <w:p w:rsidR="00ED00FB" w:rsidRDefault="00190783">
            <w:pPr>
              <w:spacing w:line="480" w:lineRule="exact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00FB" w:rsidRDefault="00190783">
            <w:pPr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无。</w:t>
            </w:r>
          </w:p>
        </w:tc>
      </w:tr>
    </w:tbl>
    <w:p w:rsidR="00ED00FB" w:rsidRDefault="00ED00FB">
      <w:pPr>
        <w:rPr>
          <w:rFonts w:ascii="楷体_GB2312" w:eastAsia="楷体_GB2312" w:hint="eastAsia"/>
          <w:sz w:val="24"/>
        </w:rPr>
      </w:pPr>
    </w:p>
    <w:sectPr w:rsidR="00ED00FB" w:rsidSect="00ED00F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849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83" w:rsidRDefault="00190783" w:rsidP="00ED00FB">
      <w:r>
        <w:separator/>
      </w:r>
    </w:p>
  </w:endnote>
  <w:endnote w:type="continuationSeparator" w:id="1">
    <w:p w:rsidR="00190783" w:rsidRDefault="00190783" w:rsidP="00ED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_GB2312"/>
    <w:charset w:val="00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FB" w:rsidRDefault="00460C42">
    <w:pPr>
      <w:pStyle w:val="a3"/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44318208" behindDoc="1" locked="0" layoutInCell="0" allowOverlap="1">
          <wp:simplePos x="0" y="0"/>
          <wp:positionH relativeFrom="margin">
            <wp:posOffset>2457450</wp:posOffset>
          </wp:positionH>
          <wp:positionV relativeFrom="margin">
            <wp:posOffset>7971790</wp:posOffset>
          </wp:positionV>
          <wp:extent cx="1297305" cy="353060"/>
          <wp:effectExtent l="19050" t="0" r="0" b="0"/>
          <wp:wrapNone/>
          <wp:docPr id="8" name="图片 8" descr="水印——审核通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水印——审核通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FB" w:rsidRDefault="00ED00FB">
    <w:pPr>
      <w:pStyle w:val="a3"/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83" w:rsidRDefault="00190783" w:rsidP="00ED00FB">
      <w:r>
        <w:separator/>
      </w:r>
    </w:p>
  </w:footnote>
  <w:footnote w:type="continuationSeparator" w:id="1">
    <w:p w:rsidR="00190783" w:rsidRDefault="00190783" w:rsidP="00ED0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FB" w:rsidRDefault="00460C42">
    <w:pPr>
      <w:pStyle w:val="a4"/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46415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409825" cy="2476500"/>
          <wp:effectExtent l="19050" t="0" r="9525" b="0"/>
          <wp:wrapNone/>
          <wp:docPr id="11" name="图片 11" descr="倾斜的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倾斜的水印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411724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19825" cy="5775325"/>
          <wp:effectExtent l="19050" t="0" r="9525" b="0"/>
          <wp:wrapNone/>
          <wp:docPr id="10" name="图片 10" descr="倾斜的水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倾斜的水印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77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FB" w:rsidRDefault="00460C42">
    <w:pPr>
      <w:pStyle w:val="a4"/>
      <w:pBdr>
        <w:bottom w:val="nil"/>
      </w:pBdr>
      <w:tabs>
        <w:tab w:val="center" w:pos="4153"/>
        <w:tab w:val="right" w:pos="8306"/>
      </w:tabs>
      <w:jc w:val="both"/>
    </w:pPr>
    <w:r>
      <w:rPr>
        <w:noProof/>
      </w:rPr>
      <w:drawing>
        <wp:anchor distT="0" distB="0" distL="114300" distR="114300" simplePos="0" relativeHeight="250609664" behindDoc="1" locked="0" layoutInCell="0" allowOverlap="1">
          <wp:simplePos x="0" y="0"/>
          <wp:positionH relativeFrom="margin">
            <wp:posOffset>4495800</wp:posOffset>
          </wp:positionH>
          <wp:positionV relativeFrom="margin">
            <wp:posOffset>332740</wp:posOffset>
          </wp:positionV>
          <wp:extent cx="1733550" cy="471805"/>
          <wp:effectExtent l="19050" t="0" r="0" b="0"/>
          <wp:wrapNone/>
          <wp:docPr id="9" name="图片 9" descr="水印——审核通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水印——审核通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FB" w:rsidRDefault="00460C42">
    <w:pPr>
      <w:pStyle w:val="a4"/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453667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409825" cy="2476500"/>
          <wp:effectExtent l="19050" t="0" r="9525" b="0"/>
          <wp:wrapNone/>
          <wp:docPr id="7" name="图片 7" descr="倾斜的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倾斜的水印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401239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19825" cy="5775325"/>
          <wp:effectExtent l="19050" t="0" r="9525" b="0"/>
          <wp:wrapNone/>
          <wp:docPr id="6" name="图片 6" descr="倾斜的水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倾斜的水印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77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FB" w:rsidRDefault="00460C42">
    <w:pPr>
      <w:pStyle w:val="a4"/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485125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409825" cy="2476500"/>
          <wp:effectExtent l="19050" t="0" r="9525" b="0"/>
          <wp:wrapNone/>
          <wp:docPr id="5" name="图片 5" descr="倾斜的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倾斜的水印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432696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19825" cy="5775325"/>
          <wp:effectExtent l="19050" t="0" r="9525" b="0"/>
          <wp:wrapNone/>
          <wp:docPr id="4" name="图片 4" descr="倾斜的水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倾斜的水印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77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FB" w:rsidRDefault="00460C42">
    <w:pPr>
      <w:pStyle w:val="a4"/>
      <w:pBdr>
        <w:bottom w:val="nil"/>
      </w:pBd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495610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708785" cy="1756410"/>
          <wp:effectExtent l="19050" t="0" r="5715" b="0"/>
          <wp:wrapNone/>
          <wp:docPr id="3" name="图片 3" descr="倾斜的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倾斜的水印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175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FB" w:rsidRDefault="00460C42">
    <w:pPr>
      <w:pStyle w:val="a4"/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474639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409825" cy="2476500"/>
          <wp:effectExtent l="19050" t="0" r="9525" b="0"/>
          <wp:wrapNone/>
          <wp:docPr id="2" name="图片 2" descr="倾斜的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倾斜的水印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422210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19825" cy="5775325"/>
          <wp:effectExtent l="19050" t="0" r="9525" b="0"/>
          <wp:wrapNone/>
          <wp:docPr id="1" name="图片 1" descr="倾斜的水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倾斜的水印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77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A33"/>
    <w:multiLevelType w:val="singleLevel"/>
    <w:tmpl w:val="049E83D2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45213E40"/>
    <w:multiLevelType w:val="singleLevel"/>
    <w:tmpl w:val="D4068A44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46380330"/>
    <w:multiLevelType w:val="singleLevel"/>
    <w:tmpl w:val="021C4528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ED00FB"/>
    <w:rsid w:val="00190783"/>
    <w:rsid w:val="00460C42"/>
    <w:rsid w:val="00ED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00FB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D00FB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D00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ED00FB"/>
    <w:rPr>
      <w:rFonts w:ascii="Times New Roman" w:hAnsi="Times New Roman" w:hint="default"/>
      <w:kern w:val="2"/>
      <w:sz w:val="18"/>
      <w:szCs w:val="18"/>
    </w:rPr>
  </w:style>
  <w:style w:type="character" w:customStyle="1" w:styleId="Char">
    <w:name w:val="页脚 Char"/>
    <w:link w:val="a3"/>
    <w:rsid w:val="00ED00FB"/>
    <w:rPr>
      <w:rFonts w:ascii="Times New Roman" w:hAnsi="Times New Roman" w:hint="default"/>
      <w:kern w:val="2"/>
      <w:sz w:val="18"/>
      <w:szCs w:val="18"/>
    </w:rPr>
  </w:style>
  <w:style w:type="character" w:customStyle="1" w:styleId="font21">
    <w:name w:val="font21"/>
    <w:rsid w:val="00ED00FB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71">
    <w:name w:val="font71"/>
    <w:rsid w:val="00ED00FB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font61">
    <w:name w:val="font61"/>
    <w:rsid w:val="00ED00FB"/>
    <w:rPr>
      <w:rFonts w:ascii="Times New Roman" w:eastAsia="楷体_GB2312" w:hAnsi="Times New Roman" w:cs="Times New Roman" w:hint="default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统一社会信用代码 </dc:title>
  <dc:subject/>
  <dc:creator>conac10</dc:creator>
  <cp:keywords/>
  <dc:description/>
  <cp:lastModifiedBy>Sky123.Org</cp:lastModifiedBy>
  <cp:revision>2</cp:revision>
  <cp:lastPrinted>2018-03-05T06:44:00Z</cp:lastPrinted>
  <dcterms:created xsi:type="dcterms:W3CDTF">2018-04-11T07:33:00Z</dcterms:created>
  <dcterms:modified xsi:type="dcterms:W3CDTF">2018-04-11T07:33:00Z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